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16EC" w14:textId="25327351" w:rsidR="00CF3C65" w:rsidRDefault="0032666B" w:rsidP="0032666B">
      <w:pPr>
        <w:jc w:val="right"/>
        <w:rPr>
          <w:rFonts w:cs="Arial"/>
          <w:bCs/>
          <w:sz w:val="22"/>
          <w:szCs w:val="22"/>
        </w:rPr>
      </w:pPr>
      <w:r>
        <w:rPr>
          <w:rFonts w:ascii="Times New Roman" w:hAnsi="Times New Roman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65DFDFB" wp14:editId="0B9ED7F8">
            <wp:simplePos x="0" y="0"/>
            <wp:positionH relativeFrom="column">
              <wp:posOffset>-71755</wp:posOffset>
            </wp:positionH>
            <wp:positionV relativeFrom="paragraph">
              <wp:posOffset>-558165</wp:posOffset>
            </wp:positionV>
            <wp:extent cx="1353436" cy="18469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36" cy="18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07A9E" w14:textId="1B7EBF9F" w:rsidR="009379B8" w:rsidRDefault="009379B8" w:rsidP="00874DED">
      <w:pPr>
        <w:keepNext/>
        <w:keepLines/>
        <w:spacing w:before="320" w:after="240" w:line="276" w:lineRule="auto"/>
        <w:outlineLvl w:val="1"/>
        <w:rPr>
          <w:rFonts w:ascii="Calibri" w:hAnsi="Calibri"/>
          <w:b/>
          <w:bCs/>
          <w:color w:val="1F497D" w:themeColor="text2"/>
          <w:sz w:val="28"/>
          <w:szCs w:val="28"/>
        </w:rPr>
      </w:pPr>
    </w:p>
    <w:p w14:paraId="32F8E950" w14:textId="77777777" w:rsidR="0037082A" w:rsidRDefault="0037082A" w:rsidP="00874DED">
      <w:pPr>
        <w:keepNext/>
        <w:keepLines/>
        <w:spacing w:before="320" w:after="240" w:line="276" w:lineRule="auto"/>
        <w:outlineLvl w:val="1"/>
        <w:rPr>
          <w:rFonts w:ascii="Calibri" w:hAnsi="Calibri"/>
          <w:b/>
          <w:bCs/>
          <w:color w:val="1F497D" w:themeColor="text2"/>
          <w:sz w:val="28"/>
          <w:szCs w:val="28"/>
        </w:rPr>
      </w:pPr>
    </w:p>
    <w:p w14:paraId="1D2FEDE1" w14:textId="151A71AD" w:rsidR="00874DED" w:rsidRDefault="00874DED" w:rsidP="00624550">
      <w:pPr>
        <w:keepNext/>
        <w:keepLines/>
        <w:spacing w:before="320" w:after="240" w:line="276" w:lineRule="auto"/>
        <w:jc w:val="center"/>
        <w:outlineLvl w:val="1"/>
        <w:rPr>
          <w:rFonts w:cs="Arial"/>
          <w:b/>
          <w:bCs/>
          <w:color w:val="1F497D" w:themeColor="text2"/>
          <w:sz w:val="26"/>
          <w:szCs w:val="26"/>
        </w:rPr>
      </w:pPr>
      <w:r w:rsidRPr="009379B8">
        <w:rPr>
          <w:rFonts w:cs="Arial"/>
          <w:b/>
          <w:bCs/>
          <w:color w:val="1F497D" w:themeColor="text2"/>
          <w:sz w:val="26"/>
          <w:szCs w:val="26"/>
        </w:rPr>
        <w:t xml:space="preserve">One Minute Guide to </w:t>
      </w:r>
      <w:r w:rsidR="00815D3E">
        <w:rPr>
          <w:rFonts w:cs="Arial"/>
          <w:b/>
          <w:bCs/>
          <w:color w:val="1F497D" w:themeColor="text2"/>
          <w:sz w:val="26"/>
          <w:szCs w:val="26"/>
        </w:rPr>
        <w:t>a Duty telephone call</w:t>
      </w:r>
      <w:r w:rsidRPr="009379B8">
        <w:rPr>
          <w:rFonts w:cs="Arial"/>
          <w:b/>
          <w:bCs/>
          <w:color w:val="1F497D" w:themeColor="text2"/>
          <w:sz w:val="26"/>
          <w:szCs w:val="26"/>
        </w:rPr>
        <w:t xml:space="preserve"> with the Infant Mental Health Service</w:t>
      </w:r>
    </w:p>
    <w:p w14:paraId="5FEC1E36" w14:textId="7C375EE3" w:rsidR="008A7536" w:rsidRDefault="008A7536" w:rsidP="008A7536">
      <w:pPr>
        <w:rPr>
          <w:rFonts w:ascii="Calibri" w:hAnsi="Calibri"/>
          <w:sz w:val="22"/>
          <w:szCs w:val="22"/>
        </w:rPr>
      </w:pPr>
      <w:r>
        <w:t xml:space="preserve">We continue with our two-step process of a </w:t>
      </w:r>
      <w:r>
        <w:rPr>
          <w:b/>
          <w:bCs/>
          <w:u w:val="single"/>
        </w:rPr>
        <w:t xml:space="preserve">duty call first and a following </w:t>
      </w:r>
      <w:r w:rsidR="00624550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eferral </w:t>
      </w:r>
      <w:r w:rsidR="00624550">
        <w:rPr>
          <w:b/>
          <w:bCs/>
          <w:u w:val="single"/>
        </w:rPr>
        <w:t>F</w:t>
      </w:r>
      <w:r>
        <w:rPr>
          <w:b/>
          <w:bCs/>
          <w:u w:val="single"/>
        </w:rPr>
        <w:t>orm</w:t>
      </w:r>
      <w:r>
        <w:t xml:space="preserve"> as this process is necessary as a specialist service to help clarify the infant’s experience and focus on the relationship. It is important from a safeguarding perspective that we then receive a formal referral in writing that captures referrer’s concerns in their words.</w:t>
      </w:r>
    </w:p>
    <w:p w14:paraId="145D1A9C" w14:textId="77777777" w:rsidR="008A7536" w:rsidRDefault="008A7536" w:rsidP="0032666B">
      <w:pPr>
        <w:pStyle w:val="NoSpacing"/>
        <w:rPr>
          <w:rFonts w:eastAsia="Calibri"/>
          <w:b/>
          <w:i/>
        </w:rPr>
      </w:pPr>
    </w:p>
    <w:p w14:paraId="6C2A418C" w14:textId="13A79550" w:rsidR="00874DED" w:rsidRPr="008A7536" w:rsidRDefault="00874DED" w:rsidP="0032666B">
      <w:pPr>
        <w:pStyle w:val="NoSpacing"/>
        <w:rPr>
          <w:rFonts w:eastAsia="Calibri"/>
          <w:bCs/>
          <w:iCs/>
          <w:u w:val="single"/>
        </w:rPr>
      </w:pPr>
      <w:r w:rsidRPr="008A7536">
        <w:rPr>
          <w:rFonts w:eastAsia="Calibri"/>
          <w:bCs/>
          <w:iCs/>
          <w:u w:val="single"/>
        </w:rPr>
        <w:t xml:space="preserve">What </w:t>
      </w:r>
      <w:r w:rsidR="00815D3E" w:rsidRPr="008A7536">
        <w:rPr>
          <w:rFonts w:eastAsia="Calibri"/>
          <w:bCs/>
          <w:iCs/>
          <w:u w:val="single"/>
        </w:rPr>
        <w:t>to expect from a duty call with an IMH practitioner</w:t>
      </w:r>
      <w:r w:rsidR="008A7536" w:rsidRPr="008A7536">
        <w:rPr>
          <w:rFonts w:eastAsia="Calibri"/>
          <w:bCs/>
          <w:iCs/>
          <w:u w:val="single"/>
        </w:rPr>
        <w:t>:</w:t>
      </w:r>
    </w:p>
    <w:p w14:paraId="7B544D38" w14:textId="77777777" w:rsidR="00815D3E" w:rsidRPr="008A7536" w:rsidRDefault="00815D3E" w:rsidP="0032666B">
      <w:pPr>
        <w:pStyle w:val="NoSpacing"/>
        <w:rPr>
          <w:rFonts w:eastAsia="Calibri"/>
          <w:bCs/>
          <w:iCs/>
        </w:rPr>
      </w:pPr>
    </w:p>
    <w:p w14:paraId="01613371" w14:textId="7163F2B8" w:rsidR="00815D3E" w:rsidRPr="00624550" w:rsidRDefault="00815D3E" w:rsidP="00624550">
      <w:pPr>
        <w:pStyle w:val="NoSpacing"/>
        <w:numPr>
          <w:ilvl w:val="0"/>
          <w:numId w:val="5"/>
        </w:numPr>
        <w:spacing w:after="120"/>
        <w:ind w:left="714" w:hanging="357"/>
        <w:rPr>
          <w:rFonts w:eastAsia="Calibri"/>
          <w:bCs/>
          <w:iCs/>
        </w:rPr>
      </w:pPr>
      <w:r w:rsidRPr="008A7536">
        <w:rPr>
          <w:rFonts w:eastAsia="Calibri"/>
          <w:bCs/>
          <w:iCs/>
        </w:rPr>
        <w:t xml:space="preserve">45 minutes will be allocated to discuss the infant/family. This </w:t>
      </w:r>
      <w:r w:rsidR="008A7536">
        <w:rPr>
          <w:rFonts w:eastAsia="Calibri"/>
          <w:bCs/>
          <w:iCs/>
        </w:rPr>
        <w:t xml:space="preserve">should </w:t>
      </w:r>
      <w:r w:rsidRPr="008A7536">
        <w:rPr>
          <w:rFonts w:eastAsia="Calibri"/>
          <w:bCs/>
          <w:iCs/>
        </w:rPr>
        <w:t>allow time for</w:t>
      </w:r>
      <w:r w:rsidR="008A7536">
        <w:rPr>
          <w:rFonts w:eastAsia="Calibri"/>
          <w:bCs/>
          <w:iCs/>
        </w:rPr>
        <w:t xml:space="preserve"> discussion and for </w:t>
      </w:r>
      <w:r w:rsidRPr="008A7536">
        <w:rPr>
          <w:rFonts w:eastAsia="Calibri"/>
          <w:bCs/>
          <w:iCs/>
        </w:rPr>
        <w:t>complet</w:t>
      </w:r>
      <w:r w:rsidR="008A7536">
        <w:rPr>
          <w:rFonts w:eastAsia="Calibri"/>
          <w:bCs/>
          <w:iCs/>
        </w:rPr>
        <w:t>ion</w:t>
      </w:r>
      <w:r w:rsidRPr="008A7536">
        <w:rPr>
          <w:rFonts w:eastAsia="Calibri"/>
          <w:bCs/>
          <w:iCs/>
        </w:rPr>
        <w:t xml:space="preserve"> </w:t>
      </w:r>
      <w:r w:rsidR="008A7536">
        <w:rPr>
          <w:rFonts w:eastAsia="Calibri"/>
          <w:bCs/>
          <w:iCs/>
        </w:rPr>
        <w:t xml:space="preserve">of </w:t>
      </w:r>
      <w:r w:rsidRPr="008A7536">
        <w:rPr>
          <w:rFonts w:eastAsia="Calibri"/>
          <w:bCs/>
          <w:iCs/>
        </w:rPr>
        <w:t xml:space="preserve">the referral form if appropriate. </w:t>
      </w:r>
      <w:r w:rsidR="00DA74BB">
        <w:rPr>
          <w:rFonts w:eastAsia="Calibri"/>
          <w:bCs/>
          <w:iCs/>
        </w:rPr>
        <w:t xml:space="preserve">Please note that the call can </w:t>
      </w:r>
      <w:r w:rsidR="005822BC">
        <w:rPr>
          <w:rFonts w:eastAsia="Calibri"/>
          <w:bCs/>
          <w:iCs/>
        </w:rPr>
        <w:t xml:space="preserve">also be </w:t>
      </w:r>
      <w:r w:rsidR="00DA74BB">
        <w:rPr>
          <w:rFonts w:eastAsia="Calibri"/>
          <w:bCs/>
          <w:iCs/>
        </w:rPr>
        <w:t>used for advice only.</w:t>
      </w:r>
      <w:r w:rsidR="005822BC">
        <w:rPr>
          <w:rFonts w:eastAsia="Calibri"/>
          <w:bCs/>
          <w:iCs/>
        </w:rPr>
        <w:t xml:space="preserve"> Prior to the call, it is helpful to have the infant’s record open and be in a quiet space to enable you to join the call. </w:t>
      </w:r>
    </w:p>
    <w:p w14:paraId="614DF209" w14:textId="26D628DD" w:rsidR="0032666B" w:rsidRPr="005822BC" w:rsidRDefault="00815D3E" w:rsidP="005822BC">
      <w:pPr>
        <w:pStyle w:val="NoSpacing"/>
        <w:numPr>
          <w:ilvl w:val="0"/>
          <w:numId w:val="5"/>
        </w:numPr>
        <w:rPr>
          <w:rFonts w:eastAsia="Calibri"/>
          <w:bCs/>
          <w:iCs/>
        </w:rPr>
      </w:pPr>
      <w:r w:rsidRPr="008A7536">
        <w:rPr>
          <w:rFonts w:eastAsia="Calibri"/>
          <w:bCs/>
          <w:iCs/>
        </w:rPr>
        <w:t xml:space="preserve">A </w:t>
      </w:r>
      <w:r w:rsidR="008A7536">
        <w:rPr>
          <w:rFonts w:eastAsia="Calibri"/>
          <w:bCs/>
          <w:iCs/>
        </w:rPr>
        <w:t>summary</w:t>
      </w:r>
      <w:r w:rsidRPr="008A7536">
        <w:rPr>
          <w:rFonts w:eastAsia="Calibri"/>
          <w:bCs/>
          <w:iCs/>
        </w:rPr>
        <w:t xml:space="preserve"> of the telephone call will be </w:t>
      </w:r>
      <w:r w:rsidR="008A7536">
        <w:rPr>
          <w:rFonts w:eastAsia="Calibri"/>
          <w:bCs/>
          <w:iCs/>
        </w:rPr>
        <w:t xml:space="preserve">recorded by the IMH practitioner </w:t>
      </w:r>
      <w:r w:rsidRPr="008A7536">
        <w:rPr>
          <w:rFonts w:eastAsia="Calibri"/>
          <w:bCs/>
          <w:iCs/>
        </w:rPr>
        <w:t>on the infant’s record</w:t>
      </w:r>
      <w:r w:rsidR="005822BC">
        <w:rPr>
          <w:rFonts w:eastAsia="Calibri"/>
          <w:bCs/>
          <w:iCs/>
        </w:rPr>
        <w:t xml:space="preserve"> on </w:t>
      </w:r>
      <w:proofErr w:type="spellStart"/>
      <w:r w:rsidR="005822BC">
        <w:rPr>
          <w:rFonts w:eastAsia="Calibri"/>
          <w:bCs/>
          <w:iCs/>
        </w:rPr>
        <w:t>SystmOne</w:t>
      </w:r>
      <w:proofErr w:type="spellEnd"/>
      <w:r w:rsidRPr="005822BC">
        <w:rPr>
          <w:rFonts w:eastAsia="Calibri"/>
          <w:bCs/>
          <w:iCs/>
        </w:rPr>
        <w:t xml:space="preserve"> (or Mother’s record if an antenatal referral). </w:t>
      </w:r>
    </w:p>
    <w:p w14:paraId="5D7FF4AB" w14:textId="77777777" w:rsidR="00815D3E" w:rsidRDefault="00815D3E" w:rsidP="00815D3E"/>
    <w:p w14:paraId="6F11A8E1" w14:textId="77777777" w:rsidR="00815D3E" w:rsidRPr="008A7536" w:rsidRDefault="00815D3E" w:rsidP="00815D3E">
      <w:pPr>
        <w:rPr>
          <w:u w:val="single"/>
        </w:rPr>
      </w:pPr>
      <w:r w:rsidRPr="008A7536">
        <w:rPr>
          <w:u w:val="single"/>
        </w:rPr>
        <w:t>The key points to consider in duty calls are:</w:t>
      </w:r>
    </w:p>
    <w:p w14:paraId="1388ADF6" w14:textId="77777777" w:rsidR="00815D3E" w:rsidRDefault="00815D3E" w:rsidP="00815D3E"/>
    <w:p w14:paraId="7D867155" w14:textId="0071CACE" w:rsidR="00815D3E" w:rsidRDefault="00815D3E" w:rsidP="00815D3E">
      <w:pPr>
        <w:numPr>
          <w:ilvl w:val="0"/>
          <w:numId w:val="6"/>
        </w:numPr>
      </w:pPr>
      <w:r>
        <w:t xml:space="preserve">What are the concerns about </w:t>
      </w:r>
      <w:r>
        <w:rPr>
          <w:i/>
          <w:iCs/>
        </w:rPr>
        <w:t>the relationship</w:t>
      </w:r>
      <w:r>
        <w:t xml:space="preserve"> (i.e. details of any misattunement, disconnection, distance, anxiety etc</w:t>
      </w:r>
      <w:r w:rsidR="00624550">
        <w:t>.</w:t>
      </w:r>
      <w:r>
        <w:t xml:space="preserve"> that impacts upon the infant’s world/experience of caregiving)</w:t>
      </w:r>
    </w:p>
    <w:p w14:paraId="0952BFBB" w14:textId="77777777" w:rsidR="00815D3E" w:rsidRDefault="00815D3E" w:rsidP="00815D3E">
      <w:pPr>
        <w:ind w:left="720"/>
      </w:pPr>
    </w:p>
    <w:p w14:paraId="29B6C836" w14:textId="00F32B2F" w:rsidR="00815D3E" w:rsidRDefault="00815D3E" w:rsidP="00815D3E">
      <w:pPr>
        <w:numPr>
          <w:ilvl w:val="0"/>
          <w:numId w:val="6"/>
        </w:numPr>
      </w:pPr>
      <w:r>
        <w:t xml:space="preserve">What </w:t>
      </w:r>
      <w:r>
        <w:rPr>
          <w:i/>
          <w:iCs/>
        </w:rPr>
        <w:t>the infant</w:t>
      </w:r>
      <w:r>
        <w:t xml:space="preserve"> is telling us (ideally by the 6-8 week Early Attachment Observation or observing the infant or referrer liaising with 0-19 </w:t>
      </w:r>
      <w:r w:rsidR="00624550">
        <w:t>S</w:t>
      </w:r>
      <w:r>
        <w:t>ervice)</w:t>
      </w:r>
    </w:p>
    <w:p w14:paraId="6E7863E5" w14:textId="77777777" w:rsidR="00815D3E" w:rsidRDefault="00815D3E" w:rsidP="00815D3E">
      <w:pPr>
        <w:ind w:left="720"/>
      </w:pPr>
    </w:p>
    <w:p w14:paraId="621295D9" w14:textId="6653FDF7" w:rsidR="00815D3E" w:rsidRDefault="00815D3E" w:rsidP="002D7FBF">
      <w:pPr>
        <w:numPr>
          <w:ilvl w:val="0"/>
          <w:numId w:val="6"/>
        </w:numPr>
      </w:pPr>
      <w:r>
        <w:t xml:space="preserve">If there is a level of </w:t>
      </w:r>
      <w:r w:rsidRPr="005822BC">
        <w:rPr>
          <w:i/>
          <w:iCs/>
        </w:rPr>
        <w:t>emotional availability</w:t>
      </w:r>
      <w:r>
        <w:t xml:space="preserve"> or readiness from the parent/caregiver to think about their relationship with their infant</w:t>
      </w:r>
    </w:p>
    <w:p w14:paraId="3A30DC7B" w14:textId="77777777" w:rsidR="005822BC" w:rsidRDefault="005822BC" w:rsidP="005822BC">
      <w:pPr>
        <w:pStyle w:val="ListParagraph"/>
      </w:pPr>
    </w:p>
    <w:p w14:paraId="7870AE76" w14:textId="5FC38FB9" w:rsidR="00815D3E" w:rsidRDefault="00815D3E" w:rsidP="00FD21F6">
      <w:pPr>
        <w:numPr>
          <w:ilvl w:val="0"/>
          <w:numId w:val="6"/>
        </w:numPr>
      </w:pPr>
      <w:r w:rsidRPr="005822BC">
        <w:rPr>
          <w:i/>
          <w:iCs/>
        </w:rPr>
        <w:t xml:space="preserve">Contextual/ historic </w:t>
      </w:r>
      <w:r>
        <w:t>information of relevance</w:t>
      </w:r>
    </w:p>
    <w:p w14:paraId="24390445" w14:textId="77777777" w:rsidR="005822BC" w:rsidRDefault="005822BC" w:rsidP="005822BC">
      <w:pPr>
        <w:pStyle w:val="ListParagraph"/>
      </w:pPr>
    </w:p>
    <w:p w14:paraId="0A0794BA" w14:textId="11240071" w:rsidR="00815D3E" w:rsidRDefault="00815D3E" w:rsidP="00815D3E">
      <w:pPr>
        <w:numPr>
          <w:ilvl w:val="0"/>
          <w:numId w:val="6"/>
        </w:numPr>
      </w:pPr>
      <w:r>
        <w:t xml:space="preserve">What </w:t>
      </w:r>
      <w:r>
        <w:rPr>
          <w:i/>
          <w:iCs/>
        </w:rPr>
        <w:t>involvement</w:t>
      </w:r>
      <w:r>
        <w:t xml:space="preserve"> other services are having </w:t>
      </w:r>
      <w:proofErr w:type="gramStart"/>
      <w:r>
        <w:t>e.g.</w:t>
      </w:r>
      <w:proofErr w:type="gramEnd"/>
      <w:r>
        <w:t xml:space="preserve"> ongoing plans to manage maternal mental health and any identified risks – for example, Perinatal Mental Health Support in addressing for example trauma or emotional instability often helps us to create the space to safely hold the infant’s experience in mind</w:t>
      </w:r>
    </w:p>
    <w:p w14:paraId="24D49BF2" w14:textId="77777777" w:rsidR="00815D3E" w:rsidRDefault="00815D3E" w:rsidP="00815D3E">
      <w:pPr>
        <w:pStyle w:val="ListParagraph"/>
      </w:pPr>
    </w:p>
    <w:p w14:paraId="7B10E0AA" w14:textId="1DF18B3E" w:rsidR="00815D3E" w:rsidRDefault="00815D3E" w:rsidP="00624550">
      <w:pPr>
        <w:numPr>
          <w:ilvl w:val="0"/>
          <w:numId w:val="6"/>
        </w:numPr>
      </w:pPr>
      <w:r>
        <w:t xml:space="preserve">Whether any universal services are involved/can help first/what’s been done already </w:t>
      </w:r>
    </w:p>
    <w:p w14:paraId="4A13F7A9" w14:textId="77777777" w:rsidR="00815D3E" w:rsidRDefault="00815D3E" w:rsidP="00624550">
      <w:pPr>
        <w:ind w:left="720"/>
      </w:pPr>
    </w:p>
    <w:p w14:paraId="5C320730" w14:textId="7F871ECA" w:rsidR="009379B8" w:rsidRDefault="00CF3C65" w:rsidP="00624550">
      <w:pPr>
        <w:tabs>
          <w:tab w:val="left" w:pos="3835"/>
        </w:tabs>
        <w:spacing w:after="120"/>
        <w:rPr>
          <w:rFonts w:eastAsia="Calibri" w:cs="Arial"/>
          <w:szCs w:val="22"/>
        </w:rPr>
      </w:pPr>
      <w:r w:rsidRPr="005A5F10">
        <w:rPr>
          <w:rFonts w:eastAsia="Calibri" w:cs="Arial"/>
          <w:szCs w:val="22"/>
        </w:rPr>
        <w:t>The IMH clinician will support professionals in thinking</w:t>
      </w:r>
      <w:r w:rsidR="008A7536">
        <w:rPr>
          <w:rFonts w:eastAsia="Calibri" w:cs="Arial"/>
          <w:szCs w:val="22"/>
        </w:rPr>
        <w:t xml:space="preserve"> a</w:t>
      </w:r>
      <w:r w:rsidRPr="005A5F10">
        <w:rPr>
          <w:rFonts w:eastAsia="Calibri" w:cs="Arial"/>
          <w:szCs w:val="22"/>
        </w:rPr>
        <w:t>bout what is best for the infant’s emotional needs.</w:t>
      </w:r>
      <w:r w:rsidR="00305C32">
        <w:rPr>
          <w:rFonts w:eastAsia="Calibri" w:cs="Arial"/>
          <w:szCs w:val="22"/>
        </w:rPr>
        <w:t xml:space="preserve"> </w:t>
      </w:r>
    </w:p>
    <w:p w14:paraId="3267EC5C" w14:textId="6E098248" w:rsidR="00CF3C65" w:rsidRDefault="00815D3E" w:rsidP="00624550">
      <w:pPr>
        <w:tabs>
          <w:tab w:val="left" w:pos="3835"/>
        </w:tabs>
        <w:spacing w:after="12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We will the</w:t>
      </w:r>
      <w:r w:rsidR="008A7536">
        <w:rPr>
          <w:rFonts w:eastAsia="Calibri" w:cs="Arial"/>
          <w:szCs w:val="22"/>
        </w:rPr>
        <w:t>n</w:t>
      </w:r>
      <w:r>
        <w:rPr>
          <w:rFonts w:eastAsia="Calibri" w:cs="Arial"/>
          <w:szCs w:val="22"/>
        </w:rPr>
        <w:t xml:space="preserve"> complete a </w:t>
      </w:r>
      <w:r w:rsidR="008A7536">
        <w:rPr>
          <w:rFonts w:eastAsia="Calibri" w:cs="Arial"/>
          <w:szCs w:val="22"/>
        </w:rPr>
        <w:t xml:space="preserve">brief </w:t>
      </w:r>
      <w:r>
        <w:rPr>
          <w:rFonts w:eastAsia="Calibri" w:cs="Arial"/>
          <w:szCs w:val="22"/>
        </w:rPr>
        <w:t xml:space="preserve">risk screening form to get a </w:t>
      </w:r>
      <w:r w:rsidR="008A7536">
        <w:rPr>
          <w:rFonts w:eastAsia="Calibri" w:cs="Arial"/>
          <w:szCs w:val="22"/>
        </w:rPr>
        <w:t>fuller</w:t>
      </w:r>
      <w:r>
        <w:rPr>
          <w:rFonts w:eastAsia="Calibri" w:cs="Arial"/>
          <w:szCs w:val="22"/>
        </w:rPr>
        <w:t xml:space="preserve"> understanding of the infant’s experience.</w:t>
      </w:r>
    </w:p>
    <w:p w14:paraId="2726C803" w14:textId="32086E70" w:rsidR="00DA74BB" w:rsidRDefault="00DA74BB" w:rsidP="00624550">
      <w:pPr>
        <w:tabs>
          <w:tab w:val="left" w:pos="3835"/>
        </w:tabs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At the end of the call, the IMH practitioner will give an indication as to whether or not this is an eligible referral for the service. </w:t>
      </w:r>
    </w:p>
    <w:sectPr w:rsidR="00DA74BB" w:rsidSect="0062455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C762" w14:textId="77777777" w:rsidR="00DA4638" w:rsidRDefault="00DA4638">
      <w:r>
        <w:separator/>
      </w:r>
    </w:p>
  </w:endnote>
  <w:endnote w:type="continuationSeparator" w:id="0">
    <w:p w14:paraId="656B5704" w14:textId="77777777" w:rsidR="00DA4638" w:rsidRDefault="00DA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73B6" w14:textId="17B3A8C0" w:rsidR="009379B8" w:rsidRDefault="009379B8" w:rsidP="009379B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25D8F4F" wp14:editId="3A4FC76E">
          <wp:extent cx="2876550" cy="3333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90F0" w14:textId="77777777" w:rsidR="00F138BC" w:rsidRDefault="00F138BC" w:rsidP="00F138BC">
    <w:pPr>
      <w:pStyle w:val="Footer"/>
      <w:jc w:val="center"/>
    </w:pPr>
  </w:p>
  <w:p w14:paraId="27CC387B" w14:textId="77777777" w:rsidR="00F138BC" w:rsidRDefault="004E625C" w:rsidP="002A4501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48A78EA" wp14:editId="4F4D688C">
          <wp:extent cx="2876550" cy="333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F4CF" w14:textId="77777777" w:rsidR="00DA4638" w:rsidRDefault="00DA4638">
      <w:r>
        <w:separator/>
      </w:r>
    </w:p>
  </w:footnote>
  <w:footnote w:type="continuationSeparator" w:id="0">
    <w:p w14:paraId="302E3612" w14:textId="77777777" w:rsidR="00DA4638" w:rsidRDefault="00DA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C859" w14:textId="11EADAB3" w:rsidR="0037082A" w:rsidRDefault="0037082A">
    <w:pPr>
      <w:pStyle w:val="Header"/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79D4CADB" wp14:editId="7D26908B">
          <wp:simplePos x="0" y="0"/>
          <wp:positionH relativeFrom="column">
            <wp:posOffset>4589780</wp:posOffset>
          </wp:positionH>
          <wp:positionV relativeFrom="paragraph">
            <wp:posOffset>-106680</wp:posOffset>
          </wp:positionV>
          <wp:extent cx="2065655" cy="1172845"/>
          <wp:effectExtent l="0" t="0" r="0" b="8255"/>
          <wp:wrapSquare wrapText="bothSides"/>
          <wp:docPr id="6" name="Picture 6" descr="LCH NHS Trust logo blu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H NHS Trust logo blue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FB7A" w14:textId="154167A7" w:rsidR="00AF3CF6" w:rsidRDefault="0037082A" w:rsidP="00AF3CF6">
    <w:pPr>
      <w:pStyle w:val="Header"/>
      <w:tabs>
        <w:tab w:val="left" w:pos="4428"/>
      </w:tabs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8752" behindDoc="0" locked="0" layoutInCell="1" allowOverlap="1" wp14:anchorId="2C9A0A73" wp14:editId="6F3D7EB2">
          <wp:simplePos x="0" y="0"/>
          <wp:positionH relativeFrom="column">
            <wp:posOffset>3693795</wp:posOffset>
          </wp:positionH>
          <wp:positionV relativeFrom="paragraph">
            <wp:posOffset>-97155</wp:posOffset>
          </wp:positionV>
          <wp:extent cx="2065655" cy="1172845"/>
          <wp:effectExtent l="0" t="0" r="0" b="8255"/>
          <wp:wrapSquare wrapText="bothSides"/>
          <wp:docPr id="5" name="Picture 5" descr="LCH NHS Trust logo blu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H NHS Trust logo blue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CF6">
      <w:tab/>
    </w:r>
    <w:r w:rsidR="00AF3CF6">
      <w:tab/>
    </w:r>
    <w:r w:rsidR="00AF3CF6">
      <w:tab/>
    </w:r>
  </w:p>
  <w:p w14:paraId="7B9C56C7" w14:textId="77777777" w:rsidR="00AA402E" w:rsidRDefault="00AA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78E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D67BF"/>
    <w:multiLevelType w:val="hybridMultilevel"/>
    <w:tmpl w:val="93F82A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91C6B"/>
    <w:multiLevelType w:val="hybridMultilevel"/>
    <w:tmpl w:val="1CC29BA4"/>
    <w:lvl w:ilvl="0" w:tplc="EB46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01D6"/>
    <w:multiLevelType w:val="hybridMultilevel"/>
    <w:tmpl w:val="26F62576"/>
    <w:lvl w:ilvl="0" w:tplc="92A89A68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E0CFA"/>
    <w:multiLevelType w:val="hybridMultilevel"/>
    <w:tmpl w:val="D73CAAA6"/>
    <w:lvl w:ilvl="0" w:tplc="16D2E2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5990"/>
    <w:multiLevelType w:val="hybridMultilevel"/>
    <w:tmpl w:val="4122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4757">
    <w:abstractNumId w:val="0"/>
  </w:num>
  <w:num w:numId="2" w16cid:durableId="1650212390">
    <w:abstractNumId w:val="3"/>
  </w:num>
  <w:num w:numId="3" w16cid:durableId="135800446">
    <w:abstractNumId w:val="1"/>
  </w:num>
  <w:num w:numId="4" w16cid:durableId="1289702603">
    <w:abstractNumId w:val="2"/>
  </w:num>
  <w:num w:numId="5" w16cid:durableId="340209243">
    <w:abstractNumId w:val="4"/>
  </w:num>
  <w:num w:numId="6" w16cid:durableId="818838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2"/>
    <w:rsid w:val="00060B92"/>
    <w:rsid w:val="0008228B"/>
    <w:rsid w:val="000C6216"/>
    <w:rsid w:val="00107549"/>
    <w:rsid w:val="00195AD7"/>
    <w:rsid w:val="001B0731"/>
    <w:rsid w:val="00270DF5"/>
    <w:rsid w:val="00276402"/>
    <w:rsid w:val="002A4501"/>
    <w:rsid w:val="002A4540"/>
    <w:rsid w:val="00305C32"/>
    <w:rsid w:val="00312BA7"/>
    <w:rsid w:val="0032666B"/>
    <w:rsid w:val="003463DD"/>
    <w:rsid w:val="00367817"/>
    <w:rsid w:val="0037082A"/>
    <w:rsid w:val="00392555"/>
    <w:rsid w:val="003C26A7"/>
    <w:rsid w:val="004443AB"/>
    <w:rsid w:val="00470D25"/>
    <w:rsid w:val="004E625C"/>
    <w:rsid w:val="00507E0E"/>
    <w:rsid w:val="005822BC"/>
    <w:rsid w:val="00624550"/>
    <w:rsid w:val="007150D9"/>
    <w:rsid w:val="00773C32"/>
    <w:rsid w:val="00815D3E"/>
    <w:rsid w:val="00874DED"/>
    <w:rsid w:val="00883069"/>
    <w:rsid w:val="008A7536"/>
    <w:rsid w:val="008D76F2"/>
    <w:rsid w:val="008E5BBB"/>
    <w:rsid w:val="00936997"/>
    <w:rsid w:val="009379B8"/>
    <w:rsid w:val="00A70DBB"/>
    <w:rsid w:val="00AA402E"/>
    <w:rsid w:val="00AD7627"/>
    <w:rsid w:val="00AF3CF6"/>
    <w:rsid w:val="00B66EFD"/>
    <w:rsid w:val="00BE61E4"/>
    <w:rsid w:val="00CF3C65"/>
    <w:rsid w:val="00D45477"/>
    <w:rsid w:val="00DA4638"/>
    <w:rsid w:val="00DA74BB"/>
    <w:rsid w:val="00DB13EA"/>
    <w:rsid w:val="00DD4094"/>
    <w:rsid w:val="00E44F0D"/>
    <w:rsid w:val="00EB255B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847F2FB"/>
  <w15:docId w15:val="{1A2D4417-11F5-47CF-9FC8-A13AD67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6BE1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rsid w:val="00222543"/>
    <w:pPr>
      <w:numPr>
        <w:numId w:val="1"/>
      </w:numPr>
      <w:contextualSpacing/>
    </w:pPr>
  </w:style>
  <w:style w:type="table" w:styleId="TableGrid">
    <w:name w:val="Table Grid"/>
    <w:basedOn w:val="TableNormal"/>
    <w:rsid w:val="0031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138BC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13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8B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F3C65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F3C65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4E5B-EE19-460E-8B0F-1140567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</dc:creator>
  <cp:lastModifiedBy>CRELLIN, Kim (LEEDS COMMUNITY HEALTHCARE NHS TRUST)</cp:lastModifiedBy>
  <cp:revision>7</cp:revision>
  <cp:lastPrinted>2021-05-27T14:29:00Z</cp:lastPrinted>
  <dcterms:created xsi:type="dcterms:W3CDTF">2023-09-18T16:14:00Z</dcterms:created>
  <dcterms:modified xsi:type="dcterms:W3CDTF">2023-10-18T09:27:00Z</dcterms:modified>
</cp:coreProperties>
</file>